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06" w:rsidRPr="00B673FC" w:rsidRDefault="0006485E" w:rsidP="0006485E">
      <w:pPr>
        <w:spacing w:line="276" w:lineRule="auto"/>
        <w:ind w:left="0"/>
        <w:rPr>
          <w:sz w:val="23"/>
          <w:szCs w:val="23"/>
        </w:rPr>
      </w:pPr>
      <w:r w:rsidRPr="00B673FC">
        <w:rPr>
          <w:sz w:val="23"/>
          <w:szCs w:val="23"/>
        </w:rPr>
        <w:t>…………………………………………..</w:t>
      </w:r>
      <w:r w:rsidRPr="00B673FC">
        <w:rPr>
          <w:sz w:val="23"/>
          <w:szCs w:val="23"/>
        </w:rPr>
        <w:tab/>
      </w:r>
      <w:r w:rsidRPr="00B673FC">
        <w:rPr>
          <w:sz w:val="23"/>
          <w:szCs w:val="23"/>
        </w:rPr>
        <w:tab/>
      </w:r>
      <w:r w:rsidRPr="00B673FC">
        <w:rPr>
          <w:sz w:val="23"/>
          <w:szCs w:val="23"/>
        </w:rPr>
        <w:tab/>
      </w:r>
      <w:r w:rsidR="006F702A" w:rsidRPr="00B673FC">
        <w:rPr>
          <w:sz w:val="23"/>
          <w:szCs w:val="23"/>
        </w:rPr>
        <w:t>Poznań, dnia 25</w:t>
      </w:r>
      <w:r w:rsidR="00B70806" w:rsidRPr="00B673FC">
        <w:rPr>
          <w:sz w:val="23"/>
          <w:szCs w:val="23"/>
        </w:rPr>
        <w:t xml:space="preserve"> września 2018 roku</w:t>
      </w:r>
    </w:p>
    <w:p w:rsidR="00B70806" w:rsidRPr="00B673FC" w:rsidRDefault="00B70806" w:rsidP="00D50651">
      <w:pPr>
        <w:spacing w:line="276" w:lineRule="auto"/>
        <w:ind w:left="0"/>
        <w:rPr>
          <w:sz w:val="23"/>
          <w:szCs w:val="23"/>
        </w:rPr>
      </w:pPr>
    </w:p>
    <w:p w:rsidR="00B70806" w:rsidRPr="00B673FC" w:rsidRDefault="00B70806" w:rsidP="00D50651">
      <w:pPr>
        <w:spacing w:line="276" w:lineRule="auto"/>
        <w:ind w:left="4956"/>
        <w:contextualSpacing/>
        <w:rPr>
          <w:rFonts w:cs="Times New Roman"/>
          <w:sz w:val="23"/>
          <w:szCs w:val="23"/>
        </w:rPr>
      </w:pPr>
      <w:r w:rsidRPr="00B673FC">
        <w:rPr>
          <w:rFonts w:cs="Times New Roman"/>
          <w:sz w:val="23"/>
          <w:szCs w:val="23"/>
        </w:rPr>
        <w:t>Regionalna Dyrekcja Ochrony Środowiska w Poznaniu</w:t>
      </w:r>
    </w:p>
    <w:p w:rsidR="00B70806" w:rsidRPr="00B673FC" w:rsidRDefault="00140E12" w:rsidP="00D50651">
      <w:pPr>
        <w:spacing w:line="276" w:lineRule="auto"/>
        <w:contextualSpacing/>
        <w:rPr>
          <w:rFonts w:cs="Times New Roman"/>
          <w:sz w:val="23"/>
          <w:szCs w:val="23"/>
        </w:rPr>
      </w:pP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t>u</w:t>
      </w:r>
      <w:r w:rsidR="00B70806" w:rsidRPr="00B673FC">
        <w:rPr>
          <w:rFonts w:cs="Times New Roman"/>
          <w:sz w:val="23"/>
          <w:szCs w:val="23"/>
        </w:rPr>
        <w:t>l. Dąbrowskiego 79</w:t>
      </w:r>
    </w:p>
    <w:p w:rsidR="00B70806" w:rsidRPr="00B673FC" w:rsidRDefault="00B70806" w:rsidP="00D50651">
      <w:pPr>
        <w:spacing w:line="276" w:lineRule="auto"/>
        <w:contextualSpacing/>
        <w:rPr>
          <w:rFonts w:cs="Times New Roman"/>
          <w:sz w:val="23"/>
          <w:szCs w:val="23"/>
        </w:rPr>
      </w:pP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t>60-529 Poznań</w:t>
      </w:r>
    </w:p>
    <w:p w:rsidR="000136C8" w:rsidRPr="00B673FC" w:rsidRDefault="000136C8" w:rsidP="00D50651">
      <w:pPr>
        <w:spacing w:line="276" w:lineRule="auto"/>
        <w:rPr>
          <w:sz w:val="23"/>
          <w:szCs w:val="23"/>
        </w:rPr>
      </w:pPr>
    </w:p>
    <w:p w:rsidR="00B70806" w:rsidRPr="00B673FC" w:rsidRDefault="00FF52DE" w:rsidP="00B673FC">
      <w:pPr>
        <w:spacing w:line="276" w:lineRule="auto"/>
        <w:rPr>
          <w:sz w:val="23"/>
          <w:szCs w:val="23"/>
        </w:rPr>
      </w:pPr>
      <w:r>
        <w:rPr>
          <w:sz w:val="23"/>
          <w:szCs w:val="23"/>
        </w:rPr>
        <w:t>Dotyczy: WOO-II.4200.4.2017.</w:t>
      </w:r>
    </w:p>
    <w:p w:rsidR="00B70806" w:rsidRPr="00B673FC" w:rsidRDefault="00B70806" w:rsidP="00D50651">
      <w:pPr>
        <w:spacing w:line="276" w:lineRule="auto"/>
        <w:ind w:left="0" w:firstLine="680"/>
        <w:rPr>
          <w:sz w:val="23"/>
          <w:szCs w:val="23"/>
        </w:rPr>
      </w:pPr>
      <w:r w:rsidRPr="00B673FC">
        <w:rPr>
          <w:sz w:val="23"/>
          <w:szCs w:val="23"/>
        </w:rPr>
        <w:t xml:space="preserve">W odpowiedzi na obwieszczenie </w:t>
      </w:r>
      <w:r w:rsidR="000136C8" w:rsidRPr="00B673FC">
        <w:rPr>
          <w:sz w:val="23"/>
          <w:szCs w:val="23"/>
        </w:rPr>
        <w:t>z dnia 21 sierpnia 2018 roku w</w:t>
      </w:r>
      <w:r w:rsidRPr="00B673FC">
        <w:rPr>
          <w:sz w:val="23"/>
          <w:szCs w:val="23"/>
        </w:rPr>
        <w:t xml:space="preserve"> sprawie wydania decyzji o środowiskowych uwarunkowaniach dla budowy Północno-Wschodniej Obwodnicy Aglomeracji Poznańskiej wobec możliwości składania wniosków i uwag wnoszę o</w:t>
      </w:r>
      <w:r w:rsidR="00706D05" w:rsidRPr="00B673FC">
        <w:rPr>
          <w:sz w:val="23"/>
          <w:szCs w:val="23"/>
        </w:rPr>
        <w:t>:</w:t>
      </w:r>
      <w:r w:rsidRPr="00B673FC">
        <w:rPr>
          <w:sz w:val="23"/>
          <w:szCs w:val="23"/>
        </w:rPr>
        <w:t xml:space="preserve"> </w:t>
      </w:r>
    </w:p>
    <w:p w:rsidR="00B70806" w:rsidRPr="00B673FC" w:rsidRDefault="003B0E14" w:rsidP="00D50651">
      <w:pPr>
        <w:spacing w:line="276" w:lineRule="auto"/>
        <w:ind w:left="0"/>
        <w:rPr>
          <w:sz w:val="23"/>
          <w:szCs w:val="23"/>
        </w:rPr>
      </w:pPr>
      <w:r w:rsidRPr="00B673FC">
        <w:rPr>
          <w:sz w:val="23"/>
          <w:szCs w:val="23"/>
        </w:rPr>
        <w:t>o</w:t>
      </w:r>
      <w:r w:rsidR="00B70806" w:rsidRPr="00B673FC">
        <w:rPr>
          <w:sz w:val="23"/>
          <w:szCs w:val="23"/>
        </w:rPr>
        <w:t xml:space="preserve">dmowę wydania </w:t>
      </w:r>
      <w:r w:rsidR="00A947C6" w:rsidRPr="00B673FC">
        <w:rPr>
          <w:sz w:val="23"/>
          <w:szCs w:val="23"/>
        </w:rPr>
        <w:t>zgody</w:t>
      </w:r>
      <w:r w:rsidR="00B70806" w:rsidRPr="00B673FC">
        <w:rPr>
          <w:sz w:val="23"/>
          <w:szCs w:val="23"/>
        </w:rPr>
        <w:t xml:space="preserve"> na realizację inwestycji polegającej na budowie Północno-Wschodniej Obwodnicy Aglomeracji Poznańskiej</w:t>
      </w:r>
    </w:p>
    <w:p w:rsidR="00706D05" w:rsidRPr="00B673FC" w:rsidRDefault="00706D05" w:rsidP="00D50651">
      <w:pPr>
        <w:widowControl w:val="0"/>
        <w:autoSpaceDE w:val="0"/>
        <w:autoSpaceDN w:val="0"/>
        <w:adjustRightInd w:val="0"/>
        <w:spacing w:after="0" w:line="276" w:lineRule="auto"/>
        <w:ind w:left="0"/>
        <w:rPr>
          <w:rFonts w:eastAsiaTheme="minorEastAsia" w:cs="Arial"/>
          <w:sz w:val="23"/>
          <w:szCs w:val="23"/>
          <w:lang w:eastAsia="pl-PL"/>
        </w:rPr>
      </w:pPr>
    </w:p>
    <w:p w:rsidR="00706D05" w:rsidRPr="00B673FC" w:rsidRDefault="00706D05" w:rsidP="00D50651">
      <w:pPr>
        <w:widowControl w:val="0"/>
        <w:autoSpaceDE w:val="0"/>
        <w:autoSpaceDN w:val="0"/>
        <w:adjustRightInd w:val="0"/>
        <w:spacing w:after="0" w:line="276" w:lineRule="auto"/>
        <w:ind w:left="0"/>
        <w:jc w:val="center"/>
        <w:rPr>
          <w:rFonts w:eastAsiaTheme="minorEastAsia" w:cs="Arial"/>
          <w:sz w:val="23"/>
          <w:szCs w:val="23"/>
          <w:lang w:eastAsia="pl-PL"/>
        </w:rPr>
      </w:pPr>
      <w:r w:rsidRPr="00B673FC">
        <w:rPr>
          <w:rFonts w:eastAsiaTheme="minorEastAsia" w:cs="Arial"/>
          <w:sz w:val="23"/>
          <w:szCs w:val="23"/>
          <w:lang w:eastAsia="pl-PL"/>
        </w:rPr>
        <w:t>Uzasadnienie</w:t>
      </w:r>
    </w:p>
    <w:p w:rsidR="00706D05" w:rsidRPr="00B673FC" w:rsidRDefault="00706D05" w:rsidP="00D50651">
      <w:pPr>
        <w:widowControl w:val="0"/>
        <w:autoSpaceDE w:val="0"/>
        <w:autoSpaceDN w:val="0"/>
        <w:adjustRightInd w:val="0"/>
        <w:spacing w:after="0" w:line="276" w:lineRule="auto"/>
        <w:ind w:left="0"/>
        <w:jc w:val="center"/>
        <w:rPr>
          <w:rFonts w:eastAsiaTheme="minorEastAsia" w:cs="Arial"/>
          <w:sz w:val="23"/>
          <w:szCs w:val="23"/>
          <w:lang w:eastAsia="pl-PL"/>
        </w:rPr>
      </w:pPr>
    </w:p>
    <w:p w:rsidR="00722B9C" w:rsidRPr="00B673FC" w:rsidRDefault="00722B9C" w:rsidP="00D50651">
      <w:pPr>
        <w:widowControl w:val="0"/>
        <w:autoSpaceDE w:val="0"/>
        <w:autoSpaceDN w:val="0"/>
        <w:adjustRightInd w:val="0"/>
        <w:spacing w:after="0" w:line="276" w:lineRule="auto"/>
        <w:ind w:left="0"/>
        <w:jc w:val="center"/>
        <w:rPr>
          <w:rFonts w:eastAsiaTheme="minorEastAsia" w:cs="Arial"/>
          <w:sz w:val="23"/>
          <w:szCs w:val="23"/>
          <w:lang w:eastAsia="pl-PL"/>
        </w:rPr>
      </w:pPr>
      <w:r w:rsidRPr="00B673FC">
        <w:rPr>
          <w:rFonts w:eastAsiaTheme="minorEastAsia" w:cs="Arial"/>
          <w:sz w:val="23"/>
          <w:szCs w:val="23"/>
          <w:lang w:eastAsia="pl-PL"/>
        </w:rPr>
        <w:t>I</w:t>
      </w:r>
    </w:p>
    <w:p w:rsidR="003B0E14" w:rsidRPr="00B673FC" w:rsidRDefault="003B0E14" w:rsidP="00D50651">
      <w:pPr>
        <w:widowControl w:val="0"/>
        <w:autoSpaceDE w:val="0"/>
        <w:autoSpaceDN w:val="0"/>
        <w:adjustRightInd w:val="0"/>
        <w:spacing w:after="0" w:line="276" w:lineRule="auto"/>
        <w:ind w:left="0" w:firstLine="708"/>
        <w:rPr>
          <w:rFonts w:eastAsiaTheme="minorEastAsia" w:cs="Arial"/>
          <w:sz w:val="23"/>
          <w:szCs w:val="23"/>
          <w:lang w:eastAsia="pl-PL"/>
        </w:rPr>
      </w:pPr>
      <w:r w:rsidRPr="00B673FC">
        <w:rPr>
          <w:rFonts w:eastAsiaTheme="minorEastAsia" w:cs="Arial"/>
          <w:sz w:val="23"/>
          <w:szCs w:val="23"/>
          <w:lang w:eastAsia="pl-PL"/>
        </w:rPr>
        <w:t>Decyzja o odmowie ustalenia środowiskowych uwarunkowań może być wydana w prz</w:t>
      </w:r>
      <w:r w:rsidR="00140E12" w:rsidRPr="00B673FC">
        <w:rPr>
          <w:rFonts w:eastAsiaTheme="minorEastAsia" w:cs="Arial"/>
          <w:sz w:val="23"/>
          <w:szCs w:val="23"/>
          <w:lang w:eastAsia="pl-PL"/>
        </w:rPr>
        <w:t xml:space="preserve">ypadkach określonych w ustawie z dnia 3 października 2008 r. o udostępnianiu informacji o środowisku i jego ochronie, udziale społeczeństwa w ochronie środowiska oraz o ocenach oddziaływania na środowisko, </w:t>
      </w:r>
      <w:r w:rsidRPr="00B673FC">
        <w:rPr>
          <w:rFonts w:eastAsiaTheme="minorEastAsia" w:cs="Arial"/>
          <w:sz w:val="23"/>
          <w:szCs w:val="23"/>
          <w:lang w:eastAsia="pl-PL"/>
        </w:rPr>
        <w:t>a przesłanki odmowy zgody polegać mogą między innymi na niezgodności lokalizacji przedsięwzięcia z miejscowym planem zagospodarowania przestrzennego (art. 80 ust. 2 ustawy), odmowie uzgodnienia warunków realizacji przedsięwzięcia przez organ współdziałający</w:t>
      </w:r>
      <w:bookmarkStart w:id="0" w:name="_GoBack"/>
      <w:bookmarkEnd w:id="0"/>
      <w:r w:rsidRPr="00B673FC">
        <w:rPr>
          <w:rFonts w:eastAsiaTheme="minorEastAsia" w:cs="Arial"/>
          <w:sz w:val="23"/>
          <w:szCs w:val="23"/>
          <w:lang w:eastAsia="pl-PL"/>
        </w:rPr>
        <w:t xml:space="preserve"> (art. 80 ust. 1 pkt 1 w zw. z art. 77 ust. 1 ustawy), braku zgody wnioskodawcy na realizację przedsięwzięcia w innym wariancie proponowanym przez wnioskodawcę, w sytuacji, gdy organ skorzysta z możliwości określonej w art. 81 ust. 1 ustawy, wykazaniu znaczącego negatywnego oddziaływania na obszar Natura 2000 przy jednoczesnym braku spełnienia przesłanek z art. 34 ustawy z dnia 16 kwietnia 2004 roku o ochronie pr</w:t>
      </w:r>
      <w:r w:rsidR="00722B9C" w:rsidRPr="00B673FC">
        <w:rPr>
          <w:rFonts w:eastAsiaTheme="minorEastAsia" w:cs="Arial"/>
          <w:sz w:val="23"/>
          <w:szCs w:val="23"/>
          <w:lang w:eastAsia="pl-PL"/>
        </w:rPr>
        <w:t>zyrody (art. 81 ust. 2 ustawy).</w:t>
      </w:r>
    </w:p>
    <w:p w:rsidR="00722B9C" w:rsidRPr="00B673FC" w:rsidRDefault="00722B9C" w:rsidP="00722B9C">
      <w:pPr>
        <w:widowControl w:val="0"/>
        <w:autoSpaceDE w:val="0"/>
        <w:autoSpaceDN w:val="0"/>
        <w:adjustRightInd w:val="0"/>
        <w:spacing w:after="0" w:line="276" w:lineRule="auto"/>
        <w:ind w:left="0"/>
        <w:rPr>
          <w:rFonts w:eastAsiaTheme="minorEastAsia" w:cs="Arial"/>
          <w:sz w:val="23"/>
          <w:szCs w:val="23"/>
          <w:lang w:eastAsia="pl-PL"/>
        </w:rPr>
      </w:pPr>
    </w:p>
    <w:p w:rsidR="00722B9C" w:rsidRPr="00B673FC" w:rsidRDefault="00722B9C" w:rsidP="00722B9C">
      <w:pPr>
        <w:widowControl w:val="0"/>
        <w:autoSpaceDE w:val="0"/>
        <w:autoSpaceDN w:val="0"/>
        <w:adjustRightInd w:val="0"/>
        <w:spacing w:after="0" w:line="276" w:lineRule="auto"/>
        <w:ind w:left="0"/>
        <w:jc w:val="center"/>
        <w:rPr>
          <w:sz w:val="23"/>
          <w:szCs w:val="23"/>
        </w:rPr>
      </w:pPr>
      <w:r w:rsidRPr="00B673FC">
        <w:rPr>
          <w:rFonts w:eastAsiaTheme="minorEastAsia" w:cs="Arial"/>
          <w:sz w:val="23"/>
          <w:szCs w:val="23"/>
          <w:lang w:eastAsia="pl-PL"/>
        </w:rPr>
        <w:t>II</w:t>
      </w:r>
    </w:p>
    <w:p w:rsidR="006F702A" w:rsidRPr="00B673FC" w:rsidRDefault="006F702A" w:rsidP="00B673FC">
      <w:pPr>
        <w:widowControl w:val="0"/>
        <w:autoSpaceDE w:val="0"/>
        <w:autoSpaceDN w:val="0"/>
        <w:adjustRightInd w:val="0"/>
        <w:spacing w:after="0" w:line="276" w:lineRule="auto"/>
        <w:ind w:left="0"/>
        <w:rPr>
          <w:sz w:val="23"/>
          <w:szCs w:val="23"/>
        </w:rPr>
      </w:pPr>
    </w:p>
    <w:p w:rsidR="00722B9C" w:rsidRPr="00B673FC" w:rsidRDefault="00722B9C" w:rsidP="00B673FC">
      <w:pPr>
        <w:pStyle w:val="Akapitzlist"/>
        <w:widowControl w:val="0"/>
        <w:numPr>
          <w:ilvl w:val="0"/>
          <w:numId w:val="8"/>
        </w:numPr>
        <w:autoSpaceDE w:val="0"/>
        <w:autoSpaceDN w:val="0"/>
        <w:adjustRightInd w:val="0"/>
        <w:spacing w:after="0" w:line="276" w:lineRule="auto"/>
        <w:rPr>
          <w:sz w:val="23"/>
          <w:szCs w:val="23"/>
        </w:rPr>
      </w:pPr>
      <w:r w:rsidRPr="00B673FC">
        <w:rPr>
          <w:sz w:val="23"/>
          <w:szCs w:val="23"/>
        </w:rPr>
        <w:t>Inwestor nie przedstaw</w:t>
      </w:r>
      <w:r w:rsidR="00FC434F">
        <w:rPr>
          <w:sz w:val="23"/>
          <w:szCs w:val="23"/>
        </w:rPr>
        <w:t xml:space="preserve">ił raportu z zakresu hydrologii, </w:t>
      </w:r>
      <w:r w:rsidRPr="00B673FC">
        <w:rPr>
          <w:sz w:val="23"/>
          <w:szCs w:val="23"/>
        </w:rPr>
        <w:t>w tym:</w:t>
      </w:r>
    </w:p>
    <w:p w:rsidR="00722B9C" w:rsidRPr="00B673FC" w:rsidRDefault="00722B9C" w:rsidP="00722B9C">
      <w:pPr>
        <w:pStyle w:val="Akapitzlist"/>
        <w:widowControl w:val="0"/>
        <w:numPr>
          <w:ilvl w:val="0"/>
          <w:numId w:val="4"/>
        </w:numPr>
        <w:autoSpaceDE w:val="0"/>
        <w:autoSpaceDN w:val="0"/>
        <w:adjustRightInd w:val="0"/>
        <w:spacing w:after="0" w:line="276" w:lineRule="auto"/>
        <w:rPr>
          <w:sz w:val="23"/>
          <w:szCs w:val="23"/>
        </w:rPr>
      </w:pPr>
      <w:r w:rsidRPr="00B673FC">
        <w:rPr>
          <w:sz w:val="23"/>
          <w:szCs w:val="23"/>
        </w:rPr>
        <w:t xml:space="preserve">informacji dotyczących warunków hydrogeologicznych i geologicznych </w:t>
      </w:r>
      <w:r w:rsidR="006F702A" w:rsidRPr="00B673FC">
        <w:rPr>
          <w:sz w:val="23"/>
          <w:szCs w:val="23"/>
        </w:rPr>
        <w:t xml:space="preserve">terenu planowanej inwestycji oraz </w:t>
      </w:r>
      <w:r w:rsidRPr="00B673FC">
        <w:rPr>
          <w:sz w:val="23"/>
          <w:szCs w:val="23"/>
        </w:rPr>
        <w:t>warstw wodonośnych</w:t>
      </w:r>
      <w:r w:rsidR="006F702A" w:rsidRPr="00B673FC">
        <w:rPr>
          <w:sz w:val="23"/>
          <w:szCs w:val="23"/>
        </w:rPr>
        <w:t xml:space="preserve"> i ich izolacji;</w:t>
      </w:r>
    </w:p>
    <w:p w:rsidR="00722B9C" w:rsidRPr="00B673FC" w:rsidRDefault="00722B9C" w:rsidP="00722B9C">
      <w:pPr>
        <w:pStyle w:val="Akapitzlist"/>
        <w:widowControl w:val="0"/>
        <w:numPr>
          <w:ilvl w:val="0"/>
          <w:numId w:val="4"/>
        </w:numPr>
        <w:autoSpaceDE w:val="0"/>
        <w:autoSpaceDN w:val="0"/>
        <w:adjustRightInd w:val="0"/>
        <w:spacing w:after="0" w:line="276" w:lineRule="auto"/>
        <w:rPr>
          <w:sz w:val="23"/>
          <w:szCs w:val="23"/>
        </w:rPr>
      </w:pPr>
      <w:r w:rsidRPr="00B673FC">
        <w:rPr>
          <w:sz w:val="23"/>
          <w:szCs w:val="23"/>
        </w:rPr>
        <w:t xml:space="preserve">opisu możliwego wpływu przedsięwzięcia na wszystkie komponenty środowiska hydrogeologicznego </w:t>
      </w:r>
      <w:r w:rsidR="006F702A" w:rsidRPr="00B673FC">
        <w:rPr>
          <w:sz w:val="23"/>
          <w:szCs w:val="23"/>
        </w:rPr>
        <w:t xml:space="preserve">oraz rozwiązań mających na celu ograniczenie negatywnego </w:t>
      </w:r>
      <w:r w:rsidR="006F702A" w:rsidRPr="00B673FC">
        <w:rPr>
          <w:sz w:val="23"/>
          <w:szCs w:val="23"/>
        </w:rPr>
        <w:lastRenderedPageBreak/>
        <w:t>wpływu planowanej inwestycji</w:t>
      </w:r>
      <w:r w:rsidR="00B673FC" w:rsidRPr="00B673FC">
        <w:rPr>
          <w:sz w:val="23"/>
          <w:szCs w:val="23"/>
        </w:rPr>
        <w:t>,</w:t>
      </w:r>
    </w:p>
    <w:p w:rsidR="006F702A" w:rsidRPr="00B673FC" w:rsidRDefault="006F702A" w:rsidP="006F702A">
      <w:pPr>
        <w:pStyle w:val="Akapitzlist"/>
        <w:widowControl w:val="0"/>
        <w:numPr>
          <w:ilvl w:val="0"/>
          <w:numId w:val="4"/>
        </w:numPr>
        <w:autoSpaceDE w:val="0"/>
        <w:autoSpaceDN w:val="0"/>
        <w:adjustRightInd w:val="0"/>
        <w:spacing w:after="0" w:line="276" w:lineRule="auto"/>
        <w:rPr>
          <w:sz w:val="23"/>
          <w:szCs w:val="23"/>
        </w:rPr>
      </w:pPr>
      <w:r w:rsidRPr="00B673FC">
        <w:rPr>
          <w:sz w:val="23"/>
          <w:szCs w:val="23"/>
        </w:rPr>
        <w:t>planowanych zabezpieczeń na etapie realizacji i eksploatacji inwestycji</w:t>
      </w:r>
    </w:p>
    <w:p w:rsidR="006F702A" w:rsidRPr="00B673FC" w:rsidRDefault="006F702A" w:rsidP="006F702A">
      <w:pPr>
        <w:pStyle w:val="Akapitzlist"/>
        <w:widowControl w:val="0"/>
        <w:autoSpaceDE w:val="0"/>
        <w:autoSpaceDN w:val="0"/>
        <w:adjustRightInd w:val="0"/>
        <w:spacing w:after="0" w:line="276" w:lineRule="auto"/>
        <w:ind w:left="1080"/>
        <w:rPr>
          <w:sz w:val="23"/>
          <w:szCs w:val="23"/>
        </w:rPr>
      </w:pPr>
    </w:p>
    <w:p w:rsidR="00A97E2D" w:rsidRPr="00B673FC" w:rsidRDefault="00B673FC" w:rsidP="006F702A">
      <w:pPr>
        <w:widowControl w:val="0"/>
        <w:autoSpaceDE w:val="0"/>
        <w:autoSpaceDN w:val="0"/>
        <w:adjustRightInd w:val="0"/>
        <w:spacing w:after="0" w:line="276" w:lineRule="auto"/>
        <w:ind w:left="0" w:firstLine="360"/>
        <w:rPr>
          <w:sz w:val="23"/>
          <w:szCs w:val="23"/>
        </w:rPr>
      </w:pPr>
      <w:r w:rsidRPr="00B673FC">
        <w:rPr>
          <w:sz w:val="23"/>
          <w:szCs w:val="23"/>
        </w:rPr>
        <w:t>2</w:t>
      </w:r>
      <w:r w:rsidR="006F702A" w:rsidRPr="00B673FC">
        <w:rPr>
          <w:sz w:val="23"/>
          <w:szCs w:val="23"/>
        </w:rPr>
        <w:t xml:space="preserve">)  Realizacja inwestycji uniemożliwi </w:t>
      </w:r>
      <w:r w:rsidR="00835773" w:rsidRPr="00B673FC">
        <w:rPr>
          <w:sz w:val="23"/>
          <w:szCs w:val="23"/>
        </w:rPr>
        <w:t xml:space="preserve">planowane </w:t>
      </w:r>
      <w:r w:rsidR="006F702A" w:rsidRPr="00B673FC">
        <w:rPr>
          <w:sz w:val="23"/>
          <w:szCs w:val="23"/>
        </w:rPr>
        <w:t xml:space="preserve">na tym ternie </w:t>
      </w:r>
      <w:r w:rsidR="00835773" w:rsidRPr="00B673FC">
        <w:rPr>
          <w:rFonts w:eastAsiaTheme="minorEastAsia" w:cs="SourceSansPro-Regular"/>
          <w:sz w:val="23"/>
          <w:szCs w:val="23"/>
          <w:lang w:eastAsia="pl-PL"/>
        </w:rPr>
        <w:t xml:space="preserve">powstanie Geoparku Morasko tj. parku tematycznego edukacji i wiedzy na terenach zainteresowanych podmiotów, połączeń drogowych, ścieżek pieszorowerowych i ścieżek edukacyjnych. Celem istnienia Geoparku </w:t>
      </w:r>
      <w:r w:rsidR="006F702A" w:rsidRPr="00B673FC">
        <w:rPr>
          <w:rFonts w:eastAsiaTheme="minorEastAsia" w:cs="SourceSansPro-Regular"/>
          <w:sz w:val="23"/>
          <w:szCs w:val="23"/>
          <w:lang w:eastAsia="pl-PL"/>
        </w:rPr>
        <w:t>ma być</w:t>
      </w:r>
      <w:r w:rsidR="00835773" w:rsidRPr="00B673FC">
        <w:rPr>
          <w:rFonts w:eastAsiaTheme="minorEastAsia" w:cs="SourceSansPro-Regular"/>
          <w:sz w:val="23"/>
          <w:szCs w:val="23"/>
          <w:lang w:eastAsia="pl-PL"/>
        </w:rPr>
        <w:t xml:space="preserve"> zachowanie dziedzictwa przyrodniczego i kul</w:t>
      </w:r>
      <w:r w:rsidR="00140E12" w:rsidRPr="00B673FC">
        <w:rPr>
          <w:rFonts w:eastAsiaTheme="minorEastAsia" w:cs="SourceSansPro-Regular"/>
          <w:sz w:val="23"/>
          <w:szCs w:val="23"/>
          <w:lang w:eastAsia="pl-PL"/>
        </w:rPr>
        <w:t>turowego dla przyszłych pokoleń</w:t>
      </w:r>
      <w:r w:rsidR="00835773" w:rsidRPr="00B673FC">
        <w:rPr>
          <w:rFonts w:eastAsiaTheme="minorEastAsia" w:cs="SourceSansPro-Regular"/>
          <w:sz w:val="23"/>
          <w:szCs w:val="23"/>
          <w:lang w:eastAsia="pl-PL"/>
        </w:rPr>
        <w:t>. Zasięg terytorialny Geoparku obejmuje tereny bezpośrednio związane z impaktem meteorytowym wokół wsi Morasko i przejściem lodowca w pobliżu przełomu rzeki Warty, tj. na zachodzie obejmuje Górę Morasko, na wschodzie Dziewiczą Górę, na północy obszar Biedruska i Owińsk, na południu doliną Warty i Cybiny obszar Ostrowa Tumskiego z Bramą Poznania.</w:t>
      </w:r>
    </w:p>
    <w:p w:rsidR="00A97E2D" w:rsidRPr="00B673FC" w:rsidRDefault="00A97E2D" w:rsidP="00D50651">
      <w:pPr>
        <w:widowControl w:val="0"/>
        <w:autoSpaceDE w:val="0"/>
        <w:autoSpaceDN w:val="0"/>
        <w:adjustRightInd w:val="0"/>
        <w:spacing w:after="0" w:line="276" w:lineRule="auto"/>
        <w:ind w:left="0"/>
        <w:rPr>
          <w:rFonts w:cs="Times New Roman"/>
          <w:sz w:val="23"/>
          <w:szCs w:val="23"/>
        </w:rPr>
      </w:pPr>
    </w:p>
    <w:p w:rsidR="00E44559" w:rsidRPr="00B673FC" w:rsidRDefault="000C597A" w:rsidP="00B673FC">
      <w:pPr>
        <w:pStyle w:val="Akapitzlist"/>
        <w:widowControl w:val="0"/>
        <w:numPr>
          <w:ilvl w:val="0"/>
          <w:numId w:val="7"/>
        </w:numPr>
        <w:autoSpaceDE w:val="0"/>
        <w:autoSpaceDN w:val="0"/>
        <w:adjustRightInd w:val="0"/>
        <w:spacing w:after="0" w:line="276" w:lineRule="auto"/>
        <w:rPr>
          <w:rFonts w:cs="Times New Roman"/>
          <w:sz w:val="23"/>
          <w:szCs w:val="23"/>
        </w:rPr>
      </w:pPr>
      <w:r w:rsidRPr="00B673FC">
        <w:rPr>
          <w:rFonts w:cs="Times New Roman"/>
          <w:sz w:val="23"/>
          <w:szCs w:val="23"/>
        </w:rPr>
        <w:t>Przebieg projektowanej obwodnicy</w:t>
      </w:r>
      <w:r w:rsidRPr="00B673FC">
        <w:rPr>
          <w:rFonts w:eastAsia="Calibri" w:cs="Times New Roman"/>
          <w:sz w:val="23"/>
          <w:szCs w:val="23"/>
        </w:rPr>
        <w:t xml:space="preserve"> </w:t>
      </w:r>
      <w:r w:rsidR="006F702A" w:rsidRPr="00B673FC">
        <w:rPr>
          <w:rFonts w:eastAsia="Calibri" w:cs="Times New Roman"/>
          <w:sz w:val="23"/>
          <w:szCs w:val="23"/>
        </w:rPr>
        <w:t xml:space="preserve">naruszy </w:t>
      </w:r>
      <w:r w:rsidRPr="00B673FC">
        <w:rPr>
          <w:rFonts w:eastAsia="Calibri" w:cs="Times New Roman"/>
          <w:sz w:val="23"/>
          <w:szCs w:val="23"/>
        </w:rPr>
        <w:t xml:space="preserve">cenne przyrodniczo </w:t>
      </w:r>
      <w:r w:rsidRPr="00B673FC">
        <w:rPr>
          <w:rFonts w:cs="Times New Roman"/>
          <w:sz w:val="23"/>
          <w:szCs w:val="23"/>
        </w:rPr>
        <w:t>obszary</w:t>
      </w:r>
      <w:r w:rsidR="00B673FC" w:rsidRPr="00B673FC">
        <w:rPr>
          <w:rFonts w:cs="Times New Roman"/>
          <w:sz w:val="23"/>
          <w:szCs w:val="23"/>
        </w:rPr>
        <w:t>:</w:t>
      </w:r>
      <w:r w:rsidRPr="00B673FC">
        <w:rPr>
          <w:rFonts w:cs="Times New Roman"/>
          <w:sz w:val="23"/>
          <w:szCs w:val="23"/>
        </w:rPr>
        <w:t xml:space="preserve"> </w:t>
      </w:r>
    </w:p>
    <w:p w:rsidR="00E44559" w:rsidRPr="00B673FC" w:rsidRDefault="000C597A"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Obszar Ch</w:t>
      </w:r>
      <w:r w:rsidR="003C40A8" w:rsidRPr="00B673FC">
        <w:rPr>
          <w:rFonts w:cs="Times New Roman"/>
          <w:sz w:val="23"/>
          <w:szCs w:val="23"/>
        </w:rPr>
        <w:t>ronionego Krajobrazu Biedrusko</w:t>
      </w:r>
      <w:r w:rsidRPr="00B673FC">
        <w:rPr>
          <w:rFonts w:cs="Times New Roman"/>
          <w:sz w:val="23"/>
          <w:szCs w:val="23"/>
        </w:rPr>
        <w:t xml:space="preserve">, </w:t>
      </w:r>
    </w:p>
    <w:p w:rsidR="00E44559" w:rsidRPr="00B673FC" w:rsidRDefault="000C597A"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 xml:space="preserve">Rezerwat przyrody Meteoryt Morasko, </w:t>
      </w:r>
    </w:p>
    <w:p w:rsidR="00E44559" w:rsidRPr="00B673FC" w:rsidRDefault="000C597A"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Park Krajobrazowy Promno oraz doliny rzek: Cybina, Warta i Główna</w:t>
      </w:r>
      <w:r w:rsidR="0006485E" w:rsidRPr="00B673FC">
        <w:rPr>
          <w:rFonts w:cs="Times New Roman"/>
          <w:sz w:val="23"/>
          <w:szCs w:val="23"/>
        </w:rPr>
        <w:t xml:space="preserve">. </w:t>
      </w:r>
    </w:p>
    <w:p w:rsidR="006F702A" w:rsidRPr="00B673FC" w:rsidRDefault="003C40A8"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 xml:space="preserve">Park Krajobrazowy Puszcza Zielonka gdzie wyróżniono </w:t>
      </w:r>
      <w:r w:rsidRPr="00B673FC">
        <w:rPr>
          <w:rFonts w:eastAsiaTheme="minorEastAsia" w:cs="Lato-Regular"/>
          <w:sz w:val="23"/>
          <w:szCs w:val="23"/>
          <w:lang w:eastAsia="pl-PL"/>
        </w:rPr>
        <w:t>12 typów siedliskowych lasu</w:t>
      </w:r>
      <w:r w:rsidRPr="00B673FC">
        <w:rPr>
          <w:rFonts w:eastAsiaTheme="minorEastAsia" w:cs="Times New Roman"/>
          <w:sz w:val="23"/>
          <w:szCs w:val="23"/>
          <w:lang w:eastAsia="pl-PL"/>
        </w:rPr>
        <w:t>.</w:t>
      </w:r>
    </w:p>
    <w:p w:rsidR="00E44559" w:rsidRPr="00B673FC" w:rsidRDefault="00250985" w:rsidP="00E44559">
      <w:pPr>
        <w:pStyle w:val="Akapitzlist"/>
        <w:widowControl w:val="0"/>
        <w:numPr>
          <w:ilvl w:val="0"/>
          <w:numId w:val="4"/>
        </w:numPr>
        <w:autoSpaceDE w:val="0"/>
        <w:autoSpaceDN w:val="0"/>
        <w:adjustRightInd w:val="0"/>
        <w:spacing w:after="0" w:line="276" w:lineRule="auto"/>
        <w:rPr>
          <w:rFonts w:eastAsiaTheme="minorEastAsia" w:cs="Lato-Regular"/>
          <w:sz w:val="23"/>
          <w:szCs w:val="23"/>
          <w:lang w:eastAsia="pl-PL"/>
        </w:rPr>
      </w:pPr>
      <w:r w:rsidRPr="00B673FC">
        <w:rPr>
          <w:rFonts w:eastAsiaTheme="minorEastAsia" w:cs="Lato-Bold"/>
          <w:sz w:val="23"/>
          <w:szCs w:val="23"/>
          <w:lang w:eastAsia="pl-PL"/>
        </w:rPr>
        <w:t>Obszar Natura 2000 (</w:t>
      </w:r>
      <w:r w:rsidR="00E44559" w:rsidRPr="00B673FC">
        <w:rPr>
          <w:rFonts w:eastAsiaTheme="minorEastAsia" w:cs="Lato-Bold"/>
          <w:sz w:val="23"/>
          <w:szCs w:val="23"/>
          <w:lang w:eastAsia="pl-PL"/>
        </w:rPr>
        <w:t>Uroczyska Puszczy Zielonki</w:t>
      </w:r>
      <w:r w:rsidRPr="00B673FC">
        <w:rPr>
          <w:rFonts w:eastAsiaTheme="minorEastAsia" w:cs="Lato-Bold"/>
          <w:sz w:val="23"/>
          <w:szCs w:val="23"/>
          <w:lang w:eastAsia="pl-PL"/>
        </w:rPr>
        <w:t xml:space="preserve">) </w:t>
      </w:r>
      <w:r w:rsidR="00E44559" w:rsidRPr="00B673FC">
        <w:rPr>
          <w:rFonts w:eastAsiaTheme="minorEastAsia" w:cs="Times New Roman"/>
          <w:sz w:val="23"/>
          <w:szCs w:val="23"/>
          <w:lang w:eastAsia="pl-PL"/>
        </w:rPr>
        <w:t xml:space="preserve">gdzie </w:t>
      </w:r>
      <w:r w:rsidR="00E44559" w:rsidRPr="00B673FC">
        <w:rPr>
          <w:rFonts w:eastAsiaTheme="minorEastAsia" w:cs="Lato-Regular"/>
          <w:sz w:val="23"/>
          <w:szCs w:val="23"/>
          <w:lang w:eastAsia="pl-PL"/>
        </w:rPr>
        <w:t>przedmiotem ochrony jest</w:t>
      </w:r>
      <w:r w:rsidR="00E44559" w:rsidRPr="00B673FC">
        <w:rPr>
          <w:rFonts w:eastAsiaTheme="minorEastAsia" w:cs="Times New Roman"/>
          <w:sz w:val="23"/>
          <w:szCs w:val="23"/>
          <w:lang w:eastAsia="pl-PL"/>
        </w:rPr>
        <w:t>:</w:t>
      </w:r>
    </w:p>
    <w:p w:rsidR="00E44559" w:rsidRPr="00B673FC" w:rsidRDefault="00B673FC" w:rsidP="00E44559">
      <w:pPr>
        <w:pStyle w:val="Akapitzlist"/>
        <w:widowControl w:val="0"/>
        <w:numPr>
          <w:ilvl w:val="0"/>
          <w:numId w:val="6"/>
        </w:numPr>
        <w:autoSpaceDE w:val="0"/>
        <w:autoSpaceDN w:val="0"/>
        <w:adjustRightInd w:val="0"/>
        <w:spacing w:after="0" w:line="276" w:lineRule="auto"/>
        <w:rPr>
          <w:rFonts w:eastAsiaTheme="minorEastAsia" w:cs="Lato-Regular"/>
          <w:sz w:val="23"/>
          <w:szCs w:val="23"/>
          <w:lang w:eastAsia="pl-PL"/>
        </w:rPr>
      </w:pPr>
      <w:r w:rsidRPr="00B673FC">
        <w:rPr>
          <w:rFonts w:eastAsiaTheme="minorEastAsia" w:cs="Lato-Regular"/>
          <w:sz w:val="23"/>
          <w:szCs w:val="23"/>
          <w:lang w:eastAsia="pl-PL"/>
        </w:rPr>
        <w:t>12 typów siedlisk przyrodniczych, cztery</w:t>
      </w:r>
      <w:r w:rsidR="00E44559" w:rsidRPr="00B673FC">
        <w:rPr>
          <w:rFonts w:eastAsiaTheme="minorEastAsia" w:cs="Lato-Regular"/>
          <w:sz w:val="23"/>
          <w:szCs w:val="23"/>
          <w:lang w:eastAsia="pl-PL"/>
        </w:rPr>
        <w:t xml:space="preserve"> gatunki zwierząt min. </w:t>
      </w:r>
      <w:r w:rsidR="00250985" w:rsidRPr="00B673FC">
        <w:rPr>
          <w:rFonts w:eastAsiaTheme="minorEastAsia" w:cs="Lato-Regular"/>
          <w:sz w:val="23"/>
          <w:szCs w:val="23"/>
          <w:lang w:eastAsia="pl-PL"/>
        </w:rPr>
        <w:t>bóbr e</w:t>
      </w:r>
      <w:r w:rsidRPr="00B673FC">
        <w:rPr>
          <w:rFonts w:eastAsiaTheme="minorEastAsia" w:cs="Lato-Regular"/>
          <w:sz w:val="23"/>
          <w:szCs w:val="23"/>
          <w:lang w:eastAsia="pl-PL"/>
        </w:rPr>
        <w:t>uropejski, wydra, kumak nizinny oraz 25 zbiorowisk roślinnych,</w:t>
      </w:r>
    </w:p>
    <w:p w:rsidR="00E44559" w:rsidRPr="00B673FC" w:rsidRDefault="00E44559" w:rsidP="00E44559">
      <w:pPr>
        <w:pStyle w:val="Akapitzlist"/>
        <w:widowControl w:val="0"/>
        <w:numPr>
          <w:ilvl w:val="0"/>
          <w:numId w:val="6"/>
        </w:numPr>
        <w:autoSpaceDE w:val="0"/>
        <w:autoSpaceDN w:val="0"/>
        <w:adjustRightInd w:val="0"/>
        <w:spacing w:after="0" w:line="276" w:lineRule="auto"/>
        <w:rPr>
          <w:rFonts w:eastAsiaTheme="minorEastAsia" w:cs="Lato-Regular"/>
          <w:sz w:val="23"/>
          <w:szCs w:val="23"/>
          <w:lang w:eastAsia="pl-PL"/>
        </w:rPr>
      </w:pPr>
      <w:r w:rsidRPr="00B673FC">
        <w:rPr>
          <w:rFonts w:eastAsiaTheme="minorEastAsia" w:cs="Lato-Regular"/>
          <w:sz w:val="23"/>
          <w:szCs w:val="23"/>
          <w:lang w:eastAsia="pl-PL"/>
        </w:rPr>
        <w:t xml:space="preserve">rynna polodowcowa z jeziorami: Czarne Małe, Czarne Duże, Kociołek i Pławno, stanowiąca miejsce występowania rzadkich gatunków roślin oraz podwodnych łąk ramieniowych, szuwaru kłoci wiechowatej, torfowisk przejściowych i nakredowych, łąki  trzęślicowej, łęgów olszowych, a także, występujących na obrzeżach, lasów dębowo-grabowych i kwaśnych dąbrów; </w:t>
      </w:r>
    </w:p>
    <w:p w:rsidR="00E44559" w:rsidRPr="00B673FC" w:rsidRDefault="00E44559" w:rsidP="00E44559">
      <w:pPr>
        <w:pStyle w:val="Akapitzlist"/>
        <w:widowControl w:val="0"/>
        <w:numPr>
          <w:ilvl w:val="0"/>
          <w:numId w:val="6"/>
        </w:numPr>
        <w:autoSpaceDE w:val="0"/>
        <w:autoSpaceDN w:val="0"/>
        <w:adjustRightInd w:val="0"/>
        <w:spacing w:after="0" w:line="276" w:lineRule="auto"/>
        <w:rPr>
          <w:rFonts w:cs="Times New Roman"/>
          <w:sz w:val="23"/>
          <w:szCs w:val="23"/>
        </w:rPr>
      </w:pPr>
      <w:r w:rsidRPr="00B673FC">
        <w:rPr>
          <w:rFonts w:eastAsiaTheme="minorEastAsia" w:cs="Lato-Regular"/>
          <w:sz w:val="23"/>
          <w:szCs w:val="23"/>
          <w:lang w:eastAsia="pl-PL"/>
        </w:rPr>
        <w:t xml:space="preserve">eutroficzne jezioro Bolechowskie wraz z lasami dębowo-grabowymi; </w:t>
      </w:r>
    </w:p>
    <w:p w:rsidR="00E44559" w:rsidRPr="00B673FC" w:rsidRDefault="00E44559" w:rsidP="00E44559">
      <w:pPr>
        <w:pStyle w:val="Akapitzlist"/>
        <w:widowControl w:val="0"/>
        <w:autoSpaceDE w:val="0"/>
        <w:autoSpaceDN w:val="0"/>
        <w:adjustRightInd w:val="0"/>
        <w:spacing w:after="0" w:line="276" w:lineRule="auto"/>
        <w:ind w:left="1880"/>
        <w:rPr>
          <w:rFonts w:cs="Times New Roman"/>
          <w:sz w:val="23"/>
          <w:szCs w:val="23"/>
        </w:rPr>
      </w:pPr>
    </w:p>
    <w:p w:rsidR="00100C5F" w:rsidRPr="00B673FC" w:rsidRDefault="00777A05" w:rsidP="00250985">
      <w:pPr>
        <w:pStyle w:val="Akapitzlist"/>
        <w:widowControl w:val="0"/>
        <w:autoSpaceDE w:val="0"/>
        <w:autoSpaceDN w:val="0"/>
        <w:adjustRightInd w:val="0"/>
        <w:spacing w:after="0" w:line="276" w:lineRule="auto"/>
        <w:ind w:firstLine="696"/>
        <w:rPr>
          <w:rFonts w:cs="Times New Roman"/>
          <w:sz w:val="23"/>
          <w:szCs w:val="23"/>
        </w:rPr>
      </w:pPr>
      <w:r w:rsidRPr="00B673FC">
        <w:rPr>
          <w:rFonts w:cs="Times New Roman"/>
          <w:sz w:val="23"/>
          <w:szCs w:val="23"/>
        </w:rPr>
        <w:t xml:space="preserve">Na </w:t>
      </w:r>
      <w:r w:rsidR="00250985" w:rsidRPr="00B673FC">
        <w:rPr>
          <w:rFonts w:cs="Times New Roman"/>
          <w:sz w:val="23"/>
          <w:szCs w:val="23"/>
        </w:rPr>
        <w:t xml:space="preserve">wymienionych </w:t>
      </w:r>
      <w:r w:rsidRPr="00B673FC">
        <w:rPr>
          <w:rFonts w:cs="Times New Roman"/>
          <w:sz w:val="23"/>
          <w:szCs w:val="23"/>
        </w:rPr>
        <w:t xml:space="preserve">obszarach </w:t>
      </w:r>
      <w:r w:rsidR="000C597A" w:rsidRPr="00B673FC">
        <w:rPr>
          <w:rFonts w:cs="Times New Roman"/>
          <w:sz w:val="23"/>
          <w:szCs w:val="23"/>
        </w:rPr>
        <w:t xml:space="preserve">występuje wiele rzadkich, objętych ścisłą ochroną </w:t>
      </w:r>
      <w:r w:rsidR="00100C5F" w:rsidRPr="00B673FC">
        <w:rPr>
          <w:rFonts w:cs="Times New Roman"/>
          <w:sz w:val="23"/>
          <w:szCs w:val="23"/>
        </w:rPr>
        <w:t>prawną, gatunków</w:t>
      </w:r>
      <w:r w:rsidR="00250985" w:rsidRPr="00B673FC">
        <w:rPr>
          <w:rFonts w:cs="Times New Roman"/>
          <w:sz w:val="23"/>
          <w:szCs w:val="23"/>
        </w:rPr>
        <w:t xml:space="preserve"> </w:t>
      </w:r>
      <w:r w:rsidR="00100C5F" w:rsidRPr="00B673FC">
        <w:rPr>
          <w:rFonts w:cs="Times New Roman"/>
          <w:sz w:val="23"/>
          <w:szCs w:val="23"/>
        </w:rPr>
        <w:t xml:space="preserve">flory </w:t>
      </w:r>
      <w:r w:rsidR="000C597A" w:rsidRPr="00B673FC">
        <w:rPr>
          <w:rFonts w:cs="Times New Roman"/>
          <w:sz w:val="23"/>
          <w:szCs w:val="23"/>
        </w:rPr>
        <w:t>w tym m.in.</w:t>
      </w:r>
      <w:r w:rsidR="00DC4E12" w:rsidRPr="00B673FC">
        <w:rPr>
          <w:rFonts w:eastAsiaTheme="minorEastAsia" w:cs="OpenSans-Regular"/>
          <w:sz w:val="23"/>
          <w:szCs w:val="23"/>
          <w:lang w:eastAsia="pl-PL"/>
        </w:rPr>
        <w:t xml:space="preserve"> orlik pospolity, </w:t>
      </w:r>
      <w:r w:rsidR="00250985" w:rsidRPr="00B673FC">
        <w:rPr>
          <w:rFonts w:eastAsiaTheme="minorEastAsia" w:cs="OpenSans-Regular"/>
          <w:sz w:val="23"/>
          <w:szCs w:val="23"/>
          <w:lang w:eastAsia="pl-PL"/>
        </w:rPr>
        <w:t>wawrzynek</w:t>
      </w:r>
      <w:r w:rsidR="00D65F3E" w:rsidRPr="00B673FC">
        <w:rPr>
          <w:rFonts w:eastAsiaTheme="minorEastAsia" w:cs="OpenSans-Regular"/>
          <w:sz w:val="23"/>
          <w:szCs w:val="23"/>
          <w:lang w:eastAsia="pl-PL"/>
        </w:rPr>
        <w:t xml:space="preserve"> wilczełyko, rosiczka</w:t>
      </w:r>
      <w:r w:rsidR="00DC4E12" w:rsidRPr="00B673FC">
        <w:rPr>
          <w:rFonts w:eastAsiaTheme="minorEastAsia" w:cs="OpenSans-Regular"/>
          <w:sz w:val="23"/>
          <w:szCs w:val="23"/>
          <w:lang w:eastAsia="pl-PL"/>
        </w:rPr>
        <w:t xml:space="preserve"> – okrągłolistn</w:t>
      </w:r>
      <w:r w:rsidR="00D65F3E" w:rsidRPr="00B673FC">
        <w:rPr>
          <w:rFonts w:eastAsiaTheme="minorEastAsia" w:cs="OpenSans-Regular"/>
          <w:sz w:val="23"/>
          <w:szCs w:val="23"/>
          <w:lang w:eastAsia="pl-PL"/>
        </w:rPr>
        <w:t xml:space="preserve">ą i długolistną, </w:t>
      </w:r>
      <w:r w:rsidR="00D65F3E" w:rsidRPr="00B673FC">
        <w:rPr>
          <w:rFonts w:cs="Times New Roman"/>
          <w:sz w:val="23"/>
          <w:szCs w:val="23"/>
        </w:rPr>
        <w:t>nasięźrzał pospolity, pachnica dębowa</w:t>
      </w:r>
      <w:r w:rsidR="00D65F3E" w:rsidRPr="00B673FC">
        <w:rPr>
          <w:rFonts w:eastAsiaTheme="minorEastAsia" w:cs="OpenSans-Regular"/>
          <w:sz w:val="23"/>
          <w:szCs w:val="23"/>
          <w:lang w:eastAsia="pl-PL"/>
        </w:rPr>
        <w:t xml:space="preserve"> kłoć wiechowata</w:t>
      </w:r>
      <w:r w:rsidR="00DC4E12" w:rsidRPr="00B673FC">
        <w:rPr>
          <w:rFonts w:eastAsiaTheme="minorEastAsia" w:cs="OpenSans-Regular"/>
          <w:sz w:val="23"/>
          <w:szCs w:val="23"/>
          <w:lang w:eastAsia="pl-PL"/>
        </w:rPr>
        <w:t xml:space="preserve">, a </w:t>
      </w:r>
      <w:r w:rsidR="00B673FC" w:rsidRPr="00B673FC">
        <w:rPr>
          <w:rFonts w:eastAsiaTheme="minorEastAsia" w:cs="OpenSans-Regular"/>
          <w:sz w:val="23"/>
          <w:szCs w:val="23"/>
          <w:lang w:eastAsia="pl-PL"/>
        </w:rPr>
        <w:t>także</w:t>
      </w:r>
      <w:r w:rsidR="00DC4E12" w:rsidRPr="00B673FC">
        <w:rPr>
          <w:rFonts w:eastAsiaTheme="minorEastAsia" w:cs="OpenSans-Regular"/>
          <w:sz w:val="23"/>
          <w:szCs w:val="23"/>
          <w:lang w:eastAsia="pl-PL"/>
        </w:rPr>
        <w:t xml:space="preserve"> ż</w:t>
      </w:r>
      <w:r w:rsidR="00250985" w:rsidRPr="00B673FC">
        <w:rPr>
          <w:rFonts w:eastAsiaTheme="minorEastAsia" w:cs="OpenSans-Regular"/>
          <w:sz w:val="23"/>
          <w:szCs w:val="23"/>
          <w:lang w:eastAsia="pl-PL"/>
        </w:rPr>
        <w:t>ywca dziewięciolistnego – górska roślina</w:t>
      </w:r>
      <w:r w:rsidR="00DC4E12" w:rsidRPr="00B673FC">
        <w:rPr>
          <w:rFonts w:eastAsiaTheme="minorEastAsia" w:cs="OpenSans-Regular"/>
          <w:sz w:val="23"/>
          <w:szCs w:val="23"/>
          <w:lang w:eastAsia="pl-PL"/>
        </w:rPr>
        <w:t xml:space="preserve"> regla dolnego, która zajmuje tutaj stanowisko najdalej w Polsce wysunięte na północ</w:t>
      </w:r>
      <w:r w:rsidR="00250985" w:rsidRPr="00B673FC">
        <w:rPr>
          <w:rFonts w:cs="Times New Roman"/>
          <w:sz w:val="23"/>
          <w:szCs w:val="23"/>
        </w:rPr>
        <w:t xml:space="preserve"> oraz </w:t>
      </w:r>
      <w:r w:rsidR="00100C5F" w:rsidRPr="00B673FC">
        <w:rPr>
          <w:rFonts w:cs="Times New Roman"/>
          <w:sz w:val="23"/>
          <w:szCs w:val="23"/>
        </w:rPr>
        <w:t xml:space="preserve">fauny, w tym </w:t>
      </w:r>
      <w:r w:rsidR="000C597A" w:rsidRPr="00B673FC">
        <w:rPr>
          <w:rFonts w:cs="Times New Roman"/>
          <w:sz w:val="23"/>
          <w:szCs w:val="23"/>
        </w:rPr>
        <w:t>orzeł bielik, bocian czarny</w:t>
      </w:r>
      <w:r w:rsidR="003C40A8" w:rsidRPr="00B673FC">
        <w:rPr>
          <w:rFonts w:cs="Times New Roman"/>
          <w:sz w:val="23"/>
          <w:szCs w:val="23"/>
        </w:rPr>
        <w:t>,</w:t>
      </w:r>
      <w:r w:rsidR="000C597A" w:rsidRPr="00B673FC">
        <w:rPr>
          <w:rFonts w:cs="Times New Roman"/>
          <w:sz w:val="23"/>
          <w:szCs w:val="23"/>
        </w:rPr>
        <w:t xml:space="preserve"> </w:t>
      </w:r>
      <w:r w:rsidR="00B673FC" w:rsidRPr="00B673FC">
        <w:rPr>
          <w:rFonts w:cs="Times New Roman"/>
          <w:sz w:val="23"/>
          <w:szCs w:val="23"/>
        </w:rPr>
        <w:t>żuraw, bóbr europejski,</w:t>
      </w:r>
      <w:r w:rsidR="003C40A8" w:rsidRPr="00B673FC">
        <w:rPr>
          <w:rFonts w:cs="Times New Roman"/>
          <w:sz w:val="23"/>
          <w:szCs w:val="23"/>
        </w:rPr>
        <w:t xml:space="preserve"> wilk, </w:t>
      </w:r>
      <w:r w:rsidR="00100C5F" w:rsidRPr="00B673FC">
        <w:rPr>
          <w:rFonts w:eastAsiaTheme="minorEastAsia" w:cs="Lato-Regular"/>
          <w:sz w:val="23"/>
          <w:szCs w:val="23"/>
          <w:lang w:eastAsia="pl-PL"/>
        </w:rPr>
        <w:t>14 gatunków nietoperzy</w:t>
      </w:r>
      <w:r w:rsidR="00B673FC" w:rsidRPr="00B673FC">
        <w:rPr>
          <w:rFonts w:eastAsiaTheme="minorEastAsia" w:cs="Lato-Regular"/>
          <w:sz w:val="23"/>
          <w:szCs w:val="23"/>
          <w:lang w:eastAsia="pl-PL"/>
        </w:rPr>
        <w:t>, 541 gatunków motyli.</w:t>
      </w:r>
      <w:r w:rsidR="003C40A8" w:rsidRPr="00B673FC">
        <w:rPr>
          <w:rFonts w:eastAsiaTheme="minorEastAsia" w:cs="Lato-Regular"/>
          <w:sz w:val="23"/>
          <w:szCs w:val="23"/>
          <w:lang w:eastAsia="pl-PL"/>
        </w:rPr>
        <w:t xml:space="preserve"> </w:t>
      </w:r>
    </w:p>
    <w:p w:rsidR="00FC434F" w:rsidRDefault="00D50651" w:rsidP="00FC434F">
      <w:pPr>
        <w:pStyle w:val="Akapitzlist"/>
        <w:widowControl w:val="0"/>
        <w:autoSpaceDE w:val="0"/>
        <w:autoSpaceDN w:val="0"/>
        <w:adjustRightInd w:val="0"/>
        <w:spacing w:after="0" w:line="276" w:lineRule="auto"/>
        <w:ind w:firstLine="696"/>
        <w:rPr>
          <w:rFonts w:eastAsiaTheme="minorEastAsia" w:cs="OpenSans-Regular"/>
          <w:sz w:val="23"/>
          <w:szCs w:val="23"/>
          <w:lang w:eastAsia="pl-PL"/>
        </w:rPr>
      </w:pPr>
      <w:r w:rsidRPr="00B673FC">
        <w:rPr>
          <w:rFonts w:eastAsiaTheme="minorEastAsia" w:cs="OpenSans-Regular"/>
          <w:sz w:val="23"/>
          <w:szCs w:val="23"/>
          <w:lang w:eastAsia="pl-PL"/>
        </w:rPr>
        <w:t>Występują stare aleje i drzewa pomnikowe, jak również drzewostany o charakterze rezerwatowym.</w:t>
      </w:r>
    </w:p>
    <w:p w:rsidR="00FC434F" w:rsidRDefault="00FC434F" w:rsidP="00FC434F">
      <w:pPr>
        <w:pStyle w:val="Akapitzlist"/>
        <w:widowControl w:val="0"/>
        <w:autoSpaceDE w:val="0"/>
        <w:autoSpaceDN w:val="0"/>
        <w:adjustRightInd w:val="0"/>
        <w:spacing w:after="0" w:line="276" w:lineRule="auto"/>
        <w:ind w:firstLine="696"/>
        <w:rPr>
          <w:rFonts w:eastAsiaTheme="minorEastAsia" w:cs="OpenSans-Regular"/>
          <w:sz w:val="23"/>
          <w:szCs w:val="23"/>
          <w:lang w:eastAsia="pl-PL"/>
        </w:rPr>
      </w:pPr>
    </w:p>
    <w:p w:rsidR="00B673FC" w:rsidRPr="00FC434F" w:rsidRDefault="00B673FC" w:rsidP="00FC434F">
      <w:pPr>
        <w:widowControl w:val="0"/>
        <w:autoSpaceDE w:val="0"/>
        <w:autoSpaceDN w:val="0"/>
        <w:adjustRightInd w:val="0"/>
        <w:spacing w:after="0" w:line="276" w:lineRule="auto"/>
        <w:jc w:val="center"/>
        <w:rPr>
          <w:rFonts w:eastAsiaTheme="minorEastAsia" w:cs="OpenSans-Regular"/>
          <w:sz w:val="23"/>
          <w:szCs w:val="23"/>
          <w:lang w:eastAsia="pl-PL"/>
        </w:rPr>
      </w:pPr>
      <w:r w:rsidRPr="00FC434F">
        <w:rPr>
          <w:rFonts w:eastAsiaTheme="minorEastAsia" w:cs="SourceSansPro-Regular"/>
          <w:sz w:val="23"/>
          <w:szCs w:val="23"/>
          <w:lang w:eastAsia="pl-PL"/>
        </w:rPr>
        <w:lastRenderedPageBreak/>
        <w:t>III</w:t>
      </w:r>
    </w:p>
    <w:p w:rsidR="00FC434F" w:rsidRPr="00B673FC" w:rsidRDefault="00FC434F" w:rsidP="00FC434F">
      <w:pPr>
        <w:widowControl w:val="0"/>
        <w:autoSpaceDE w:val="0"/>
        <w:autoSpaceDN w:val="0"/>
        <w:adjustRightInd w:val="0"/>
        <w:spacing w:after="0" w:line="276" w:lineRule="auto"/>
        <w:jc w:val="center"/>
        <w:rPr>
          <w:rFonts w:eastAsiaTheme="minorEastAsia" w:cs="SourceSansPro-Regular"/>
          <w:sz w:val="23"/>
          <w:szCs w:val="23"/>
          <w:lang w:eastAsia="pl-PL"/>
        </w:rPr>
      </w:pPr>
    </w:p>
    <w:p w:rsidR="00B673FC" w:rsidRPr="00B673FC" w:rsidRDefault="00B673FC" w:rsidP="006F702A">
      <w:pPr>
        <w:pStyle w:val="Akapitzlist"/>
        <w:widowControl w:val="0"/>
        <w:autoSpaceDE w:val="0"/>
        <w:autoSpaceDN w:val="0"/>
        <w:adjustRightInd w:val="0"/>
        <w:spacing w:after="0" w:line="276" w:lineRule="auto"/>
        <w:ind w:firstLine="696"/>
        <w:rPr>
          <w:rFonts w:cs="Times New Roman"/>
          <w:b/>
          <w:sz w:val="23"/>
          <w:szCs w:val="23"/>
        </w:rPr>
      </w:pPr>
      <w:r w:rsidRPr="00B673FC">
        <w:rPr>
          <w:rFonts w:eastAsiaTheme="minorEastAsia" w:cs="SourceSansPro-Regular"/>
          <w:sz w:val="23"/>
          <w:szCs w:val="23"/>
          <w:lang w:eastAsia="pl-PL"/>
        </w:rPr>
        <w:t>Główną zasadą gospodarowania na obszarach Natura 2000 jest zakaz podejmowania działań mogących znacząco negatywnie oddziaływać na cele ochrony obszaru Natura 2000. Są to działania prowadzące do pogarszania stanu siedlisk przyrodniczych lub siedlisk gatunków roślin i zwierząt, albo zagrażające populacjom gatunków, dla których ochrony został wyznaczony obszar Natura 2000. Zabroniona jest także fragmentacja obszaru Natura 2000 i jego powiązań z i</w:t>
      </w:r>
      <w:r>
        <w:rPr>
          <w:rFonts w:eastAsiaTheme="minorEastAsia" w:cs="SourceSansPro-Regular"/>
          <w:sz w:val="23"/>
          <w:szCs w:val="23"/>
          <w:lang w:eastAsia="pl-PL"/>
        </w:rPr>
        <w:t>nnymi obszarami       (</w:t>
      </w:r>
      <w:r w:rsidRPr="00B673FC">
        <w:rPr>
          <w:rFonts w:eastAsiaTheme="minorEastAsia" w:cs="SourceSansPro-Regular"/>
          <w:sz w:val="23"/>
          <w:szCs w:val="23"/>
          <w:lang w:eastAsia="pl-PL"/>
        </w:rPr>
        <w:t>art. 33 ustawy o ochr</w:t>
      </w:r>
      <w:r>
        <w:rPr>
          <w:rFonts w:eastAsiaTheme="minorEastAsia" w:cs="SourceSansPro-Regular"/>
          <w:sz w:val="23"/>
          <w:szCs w:val="23"/>
          <w:lang w:eastAsia="pl-PL"/>
        </w:rPr>
        <w:t>onie przyrody). N</w:t>
      </w:r>
      <w:r w:rsidRPr="00B673FC">
        <w:rPr>
          <w:rFonts w:eastAsiaTheme="minorEastAsia" w:cs="SourceSansPro-Regular"/>
          <w:sz w:val="23"/>
          <w:szCs w:val="23"/>
          <w:lang w:eastAsia="pl-PL"/>
        </w:rPr>
        <w:t xml:space="preserve">ie wolno przerywać ciągłości układów przyrodniczych wewnątrz obszarów Natura 2000 poprzez przecinanie ich np. dużymi inwestycjami infrastrukturalnymi, ani przerywać ważnych powiązań pomiędzy obszarami poprzez przecinanie łączących je kompleksów leśnych tworzących korytarze ekologiczne. </w:t>
      </w:r>
      <w:r w:rsidRPr="00B673FC">
        <w:rPr>
          <w:rFonts w:ascii="Times New Roman" w:hAnsi="Times New Roman" w:cs="Times New Roman"/>
          <w:b/>
          <w:color w:val="000000" w:themeColor="text1"/>
          <w:sz w:val="23"/>
          <w:szCs w:val="23"/>
        </w:rPr>
        <w:t>Planowana inwestycja w przedstawionym przebiegu doprowadzi do rozcięcia i dezintegracji obszaru Natura 2000.</w:t>
      </w:r>
    </w:p>
    <w:p w:rsidR="006F702A" w:rsidRPr="00B673FC" w:rsidRDefault="006F702A" w:rsidP="00722B9C">
      <w:pPr>
        <w:spacing w:line="276" w:lineRule="auto"/>
        <w:ind w:left="0"/>
        <w:contextualSpacing/>
        <w:rPr>
          <w:rFonts w:cs="Times New Roman"/>
          <w:sz w:val="23"/>
          <w:szCs w:val="23"/>
        </w:rPr>
      </w:pPr>
    </w:p>
    <w:p w:rsidR="00722B9C" w:rsidRPr="00B673FC" w:rsidRDefault="00B673FC" w:rsidP="006F702A">
      <w:pPr>
        <w:spacing w:line="276" w:lineRule="auto"/>
        <w:ind w:left="0" w:firstLine="708"/>
        <w:contextualSpacing/>
        <w:rPr>
          <w:rFonts w:cs="Times New Roman"/>
          <w:sz w:val="23"/>
          <w:szCs w:val="23"/>
        </w:rPr>
      </w:pPr>
      <w:r>
        <w:rPr>
          <w:rFonts w:cs="Times New Roman"/>
          <w:sz w:val="23"/>
          <w:szCs w:val="23"/>
          <w:shd w:val="clear" w:color="auto" w:fill="FFFFFF"/>
        </w:rPr>
        <w:t>Zasadnym jest realizacja</w:t>
      </w:r>
      <w:r w:rsidR="00722B9C" w:rsidRPr="00B673FC">
        <w:rPr>
          <w:rFonts w:eastAsiaTheme="minorEastAsia" w:cs="Verdana"/>
          <w:sz w:val="23"/>
          <w:szCs w:val="23"/>
          <w:lang w:eastAsia="pl-PL"/>
        </w:rPr>
        <w:t xml:space="preserve"> przedsięwzięcia w wariancie innym niż proponowany przez wnioskodawcę,</w:t>
      </w:r>
      <w:r w:rsidR="00722B9C" w:rsidRPr="00B673FC">
        <w:rPr>
          <w:rFonts w:eastAsiaTheme="minorEastAsia" w:cs="Times New Roman"/>
          <w:sz w:val="23"/>
          <w:szCs w:val="23"/>
          <w:lang w:eastAsia="pl-PL"/>
        </w:rPr>
        <w:t xml:space="preserve"> tj. </w:t>
      </w:r>
      <w:r w:rsidR="00722B9C" w:rsidRPr="00B673FC">
        <w:rPr>
          <w:rFonts w:cs="Times New Roman"/>
          <w:sz w:val="23"/>
          <w:szCs w:val="23"/>
          <w:shd w:val="clear" w:color="auto" w:fill="FFFFFF"/>
        </w:rPr>
        <w:t>zaproponowanym przez Stowarzyszenie ZIELONKA alternatywnym wariancie przebiegu</w:t>
      </w:r>
      <w:r w:rsidR="00722B9C" w:rsidRPr="00B673FC">
        <w:rPr>
          <w:rFonts w:cs="Times New Roman"/>
          <w:sz w:val="23"/>
          <w:szCs w:val="23"/>
        </w:rPr>
        <w:t xml:space="preserve"> północno-wschodniego odcinka obwodnicy aglomeracji poznańskiej, łączącej trasę S11 (węzeł Oborniki) z trasą S5 (węzeł Wierzyce). </w:t>
      </w:r>
    </w:p>
    <w:p w:rsidR="00722B9C" w:rsidRPr="00B673FC" w:rsidRDefault="00722B9C" w:rsidP="00722B9C">
      <w:pPr>
        <w:spacing w:line="276" w:lineRule="auto"/>
        <w:ind w:left="0"/>
        <w:contextualSpacing/>
        <w:rPr>
          <w:rFonts w:cs="Times New Roman"/>
          <w:sz w:val="23"/>
          <w:szCs w:val="23"/>
        </w:rPr>
      </w:pPr>
    </w:p>
    <w:p w:rsidR="00722B9C" w:rsidRPr="00B673FC" w:rsidRDefault="00722B9C" w:rsidP="00722B9C">
      <w:pPr>
        <w:spacing w:line="276" w:lineRule="auto"/>
        <w:ind w:left="0"/>
        <w:contextualSpacing/>
        <w:rPr>
          <w:rFonts w:cs="Times New Roman"/>
          <w:sz w:val="23"/>
          <w:szCs w:val="23"/>
        </w:rPr>
      </w:pPr>
      <w:r w:rsidRPr="00B673FC">
        <w:rPr>
          <w:rFonts w:cs="Times New Roman"/>
          <w:sz w:val="23"/>
          <w:szCs w:val="23"/>
        </w:rPr>
        <w:t xml:space="preserve">Argumentami przemawiającymi za powyższym rozwiązaniem to przede wszystkim: </w:t>
      </w:r>
    </w:p>
    <w:p w:rsidR="00722B9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Ochrona cennych zasobów przyrody (w tym obszarów Natura 2000): Obszaru Chronionego Krajobrazu Biedrusko, Dolin rzek Warty, Cybiny i Głównej, Rezerwatu przyrody Meteoryt Morasko, Parku Krajobrazowego Promno, Parku Krajobrazowego Puszcza Zielonka,</w:t>
      </w:r>
      <w:r w:rsidRPr="00B673FC">
        <w:rPr>
          <w:rFonts w:cs="Times New Roman"/>
          <w:sz w:val="23"/>
          <w:szCs w:val="23"/>
          <w:lang w:eastAsia="pl-PL"/>
        </w:rPr>
        <w:t xml:space="preserve"> a także </w:t>
      </w:r>
      <w:r w:rsidRPr="00B673FC">
        <w:rPr>
          <w:rFonts w:cs="Times New Roman"/>
          <w:sz w:val="23"/>
          <w:szCs w:val="23"/>
        </w:rPr>
        <w:t>historycznych szlaków kulturowych na obszarze Parku Krajobrazowego Puszcza Zielonka.</w:t>
      </w:r>
    </w:p>
    <w:p w:rsidR="00722B9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Wyprowadzenie ruchu tranzytowego z miasta Poznania i strefy podmiejskiej, gdzie bardzo dynamicznie rozwijają się tereny zabudowy mieszkaniowej, a przy tym powiązanie komunikacyjne tras S11 i S5.</w:t>
      </w:r>
    </w:p>
    <w:p w:rsidR="00722B9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 xml:space="preserve">Ograniczenie kolizji z funkcją mieszkaniową, z poligonem wojskowym w Biedrusku oraz z Geoparkiem Morasko. </w:t>
      </w:r>
    </w:p>
    <w:p w:rsidR="00722B9C" w:rsidRPr="00B673F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 xml:space="preserve">Możliwość wykorzystania na znacznym odcinku przebiegu obwodnicy istniejącej już infrastruktury drogowej, a także zapewnienie możliwości aktywizacji gospodarczej terenów wzdłuż obwodnicy. </w:t>
      </w:r>
    </w:p>
    <w:p w:rsidR="00B673FC" w:rsidRDefault="00B673FC" w:rsidP="00B673FC">
      <w:pPr>
        <w:widowControl w:val="0"/>
        <w:autoSpaceDE w:val="0"/>
        <w:autoSpaceDN w:val="0"/>
        <w:adjustRightInd w:val="0"/>
        <w:spacing w:after="0" w:line="276" w:lineRule="auto"/>
        <w:ind w:left="360" w:firstLine="348"/>
        <w:rPr>
          <w:sz w:val="23"/>
          <w:szCs w:val="23"/>
        </w:rPr>
      </w:pPr>
      <w:r>
        <w:rPr>
          <w:sz w:val="23"/>
          <w:szCs w:val="23"/>
        </w:rPr>
        <w:t>Dodatkowo podnieść należy, iż r</w:t>
      </w:r>
      <w:r w:rsidRPr="00B673FC">
        <w:rPr>
          <w:sz w:val="23"/>
          <w:szCs w:val="23"/>
        </w:rPr>
        <w:t xml:space="preserve">ealizacja przedsięwzięcia na </w:t>
      </w:r>
      <w:r>
        <w:rPr>
          <w:sz w:val="23"/>
          <w:szCs w:val="23"/>
        </w:rPr>
        <w:t>planowanym</w:t>
      </w:r>
      <w:r w:rsidRPr="00B673FC">
        <w:rPr>
          <w:sz w:val="23"/>
          <w:szCs w:val="23"/>
        </w:rPr>
        <w:t xml:space="preserve"> ternie budzi sprzeciw lokalnej społeczności.</w:t>
      </w:r>
    </w:p>
    <w:p w:rsidR="000C1834" w:rsidRDefault="000C1834" w:rsidP="00B673FC">
      <w:pPr>
        <w:widowControl w:val="0"/>
        <w:autoSpaceDE w:val="0"/>
        <w:autoSpaceDN w:val="0"/>
        <w:adjustRightInd w:val="0"/>
        <w:spacing w:after="0" w:line="276" w:lineRule="auto"/>
        <w:ind w:left="360" w:firstLine="348"/>
        <w:rPr>
          <w:sz w:val="23"/>
          <w:szCs w:val="23"/>
        </w:rPr>
      </w:pPr>
    </w:p>
    <w:p w:rsidR="000C1834" w:rsidRPr="00B673FC" w:rsidRDefault="000C1834" w:rsidP="00B673FC">
      <w:pPr>
        <w:widowControl w:val="0"/>
        <w:autoSpaceDE w:val="0"/>
        <w:autoSpaceDN w:val="0"/>
        <w:adjustRightInd w:val="0"/>
        <w:spacing w:after="0" w:line="276" w:lineRule="auto"/>
        <w:ind w:left="360" w:firstLine="348"/>
        <w:rPr>
          <w:sz w:val="23"/>
          <w:szCs w:val="23"/>
        </w:rPr>
      </w:pPr>
    </w:p>
    <w:p w:rsidR="00264D87" w:rsidRPr="00B673FC" w:rsidRDefault="00264D87" w:rsidP="00D50651">
      <w:pPr>
        <w:spacing w:line="276" w:lineRule="auto"/>
        <w:ind w:left="0"/>
        <w:rPr>
          <w:sz w:val="23"/>
          <w:szCs w:val="23"/>
        </w:rPr>
      </w:pPr>
    </w:p>
    <w:sectPr w:rsidR="00264D87" w:rsidRPr="00B673FC" w:rsidSect="00B7080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93" w:rsidRDefault="00A86293" w:rsidP="00B70806">
      <w:pPr>
        <w:spacing w:after="0" w:line="240" w:lineRule="auto"/>
      </w:pPr>
      <w:r>
        <w:separator/>
      </w:r>
    </w:p>
  </w:endnote>
  <w:endnote w:type="continuationSeparator" w:id="1">
    <w:p w:rsidR="00A86293" w:rsidRDefault="00A86293" w:rsidP="00B70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ato-Regular">
    <w:altName w:val="Times New Roman"/>
    <w:panose1 w:val="00000000000000000000"/>
    <w:charset w:val="00"/>
    <w:family w:val="auto"/>
    <w:notTrueType/>
    <w:pitch w:val="default"/>
    <w:sig w:usb0="00000003" w:usb1="00000000" w:usb2="00000000" w:usb3="00000000" w:csb0="00000001" w:csb1="00000000"/>
  </w:font>
  <w:font w:name="Lato-Bold">
    <w:altName w:val="Times New Roman"/>
    <w:panose1 w:val="00000000000000000000"/>
    <w:charset w:val="00"/>
    <w:family w:val="auto"/>
    <w:notTrueType/>
    <w:pitch w:val="default"/>
    <w:sig w:usb0="00000003" w:usb1="00000000" w:usb2="00000000" w:usb3="00000000" w:csb0="00000001"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4F" w:rsidRDefault="00C018F2" w:rsidP="0025741A">
    <w:pPr>
      <w:pStyle w:val="Stopka"/>
      <w:framePr w:wrap="around" w:vAnchor="text" w:hAnchor="margin" w:xAlign="right" w:y="1"/>
      <w:rPr>
        <w:rStyle w:val="Numerstrony"/>
      </w:rPr>
    </w:pPr>
    <w:r>
      <w:rPr>
        <w:rStyle w:val="Numerstrony"/>
      </w:rPr>
      <w:fldChar w:fldCharType="begin"/>
    </w:r>
    <w:r w:rsidR="00FC434F">
      <w:rPr>
        <w:rStyle w:val="Numerstrony"/>
      </w:rPr>
      <w:instrText xml:space="preserve">PAGE  </w:instrText>
    </w:r>
    <w:r>
      <w:rPr>
        <w:rStyle w:val="Numerstrony"/>
      </w:rPr>
      <w:fldChar w:fldCharType="end"/>
    </w:r>
  </w:p>
  <w:p w:rsidR="00FC434F" w:rsidRDefault="00FC434F" w:rsidP="00FC434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4F" w:rsidRDefault="00C018F2" w:rsidP="0025741A">
    <w:pPr>
      <w:pStyle w:val="Stopka"/>
      <w:framePr w:wrap="around" w:vAnchor="text" w:hAnchor="margin" w:xAlign="right" w:y="1"/>
      <w:rPr>
        <w:rStyle w:val="Numerstrony"/>
      </w:rPr>
    </w:pPr>
    <w:r>
      <w:rPr>
        <w:rStyle w:val="Numerstrony"/>
      </w:rPr>
      <w:fldChar w:fldCharType="begin"/>
    </w:r>
    <w:r w:rsidR="00FC434F">
      <w:rPr>
        <w:rStyle w:val="Numerstrony"/>
      </w:rPr>
      <w:instrText xml:space="preserve">PAGE  </w:instrText>
    </w:r>
    <w:r>
      <w:rPr>
        <w:rStyle w:val="Numerstrony"/>
      </w:rPr>
      <w:fldChar w:fldCharType="separate"/>
    </w:r>
    <w:r w:rsidR="00FF52DE">
      <w:rPr>
        <w:rStyle w:val="Numerstrony"/>
        <w:noProof/>
      </w:rPr>
      <w:t>1</w:t>
    </w:r>
    <w:r>
      <w:rPr>
        <w:rStyle w:val="Numerstrony"/>
      </w:rPr>
      <w:fldChar w:fldCharType="end"/>
    </w:r>
  </w:p>
  <w:p w:rsidR="00FC434F" w:rsidRDefault="00FC434F" w:rsidP="00FC434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93" w:rsidRDefault="00A86293" w:rsidP="00B70806">
      <w:pPr>
        <w:spacing w:after="0" w:line="240" w:lineRule="auto"/>
      </w:pPr>
      <w:r>
        <w:separator/>
      </w:r>
    </w:p>
  </w:footnote>
  <w:footnote w:type="continuationSeparator" w:id="1">
    <w:p w:rsidR="00A86293" w:rsidRDefault="00A86293" w:rsidP="00B70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59" w:rsidRDefault="00E44559">
    <w:pPr>
      <w:pStyle w:val="Nagwek"/>
    </w:pPr>
    <w:r>
      <w:t xml:space="preserve"> </w:t>
    </w:r>
  </w:p>
  <w:p w:rsidR="00E44559" w:rsidRDefault="00E44559">
    <w:pPr>
      <w:pStyle w:val="Nagwek"/>
    </w:pPr>
  </w:p>
  <w:p w:rsidR="00E44559" w:rsidRDefault="00E44559">
    <w:pPr>
      <w:pStyle w:val="Nagwek"/>
    </w:pPr>
  </w:p>
  <w:p w:rsidR="00E44559" w:rsidRDefault="00E44559">
    <w:pPr>
      <w:pStyle w:val="Nagwek"/>
    </w:pPr>
  </w:p>
  <w:p w:rsidR="00E44559" w:rsidRDefault="00E44559">
    <w:pPr>
      <w:pStyle w:val="Nagwek"/>
    </w:pPr>
  </w:p>
  <w:p w:rsidR="00E44559" w:rsidRDefault="00E44559">
    <w:pPr>
      <w:pStyle w:val="Nagwek"/>
    </w:pPr>
  </w:p>
  <w:p w:rsidR="00E44559" w:rsidRDefault="00E445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BE0"/>
    <w:multiLevelType w:val="hybridMultilevel"/>
    <w:tmpl w:val="2D768402"/>
    <w:lvl w:ilvl="0" w:tplc="CB5C17C2">
      <w:start w:val="1"/>
      <w:numFmt w:val="decimal"/>
      <w:lvlText w:val="%1)"/>
      <w:lvlJc w:val="left"/>
      <w:pPr>
        <w:tabs>
          <w:tab w:val="num" w:pos="720"/>
        </w:tabs>
        <w:ind w:left="720" w:hanging="360"/>
      </w:pPr>
    </w:lvl>
    <w:lvl w:ilvl="1" w:tplc="ED4E69BE" w:tentative="1">
      <w:start w:val="1"/>
      <w:numFmt w:val="decimal"/>
      <w:lvlText w:val="%2)"/>
      <w:lvlJc w:val="left"/>
      <w:pPr>
        <w:tabs>
          <w:tab w:val="num" w:pos="1440"/>
        </w:tabs>
        <w:ind w:left="1440" w:hanging="360"/>
      </w:pPr>
    </w:lvl>
    <w:lvl w:ilvl="2" w:tplc="3DE292CC" w:tentative="1">
      <w:start w:val="1"/>
      <w:numFmt w:val="decimal"/>
      <w:lvlText w:val="%3)"/>
      <w:lvlJc w:val="left"/>
      <w:pPr>
        <w:tabs>
          <w:tab w:val="num" w:pos="2160"/>
        </w:tabs>
        <w:ind w:left="2160" w:hanging="360"/>
      </w:pPr>
    </w:lvl>
    <w:lvl w:ilvl="3" w:tplc="16646614" w:tentative="1">
      <w:start w:val="1"/>
      <w:numFmt w:val="decimal"/>
      <w:lvlText w:val="%4)"/>
      <w:lvlJc w:val="left"/>
      <w:pPr>
        <w:tabs>
          <w:tab w:val="num" w:pos="2880"/>
        </w:tabs>
        <w:ind w:left="2880" w:hanging="360"/>
      </w:pPr>
    </w:lvl>
    <w:lvl w:ilvl="4" w:tplc="AE5EDC14" w:tentative="1">
      <w:start w:val="1"/>
      <w:numFmt w:val="decimal"/>
      <w:lvlText w:val="%5)"/>
      <w:lvlJc w:val="left"/>
      <w:pPr>
        <w:tabs>
          <w:tab w:val="num" w:pos="3600"/>
        </w:tabs>
        <w:ind w:left="3600" w:hanging="360"/>
      </w:pPr>
    </w:lvl>
    <w:lvl w:ilvl="5" w:tplc="635C30C2" w:tentative="1">
      <w:start w:val="1"/>
      <w:numFmt w:val="decimal"/>
      <w:lvlText w:val="%6)"/>
      <w:lvlJc w:val="left"/>
      <w:pPr>
        <w:tabs>
          <w:tab w:val="num" w:pos="4320"/>
        </w:tabs>
        <w:ind w:left="4320" w:hanging="360"/>
      </w:pPr>
    </w:lvl>
    <w:lvl w:ilvl="6" w:tplc="0AB666CC" w:tentative="1">
      <w:start w:val="1"/>
      <w:numFmt w:val="decimal"/>
      <w:lvlText w:val="%7)"/>
      <w:lvlJc w:val="left"/>
      <w:pPr>
        <w:tabs>
          <w:tab w:val="num" w:pos="5040"/>
        </w:tabs>
        <w:ind w:left="5040" w:hanging="360"/>
      </w:pPr>
    </w:lvl>
    <w:lvl w:ilvl="7" w:tplc="20584ED8" w:tentative="1">
      <w:start w:val="1"/>
      <w:numFmt w:val="decimal"/>
      <w:lvlText w:val="%8)"/>
      <w:lvlJc w:val="left"/>
      <w:pPr>
        <w:tabs>
          <w:tab w:val="num" w:pos="5760"/>
        </w:tabs>
        <w:ind w:left="5760" w:hanging="360"/>
      </w:pPr>
    </w:lvl>
    <w:lvl w:ilvl="8" w:tplc="415A6412" w:tentative="1">
      <w:start w:val="1"/>
      <w:numFmt w:val="decimal"/>
      <w:lvlText w:val="%9)"/>
      <w:lvlJc w:val="left"/>
      <w:pPr>
        <w:tabs>
          <w:tab w:val="num" w:pos="6480"/>
        </w:tabs>
        <w:ind w:left="6480" w:hanging="360"/>
      </w:pPr>
    </w:lvl>
  </w:abstractNum>
  <w:abstractNum w:abstractNumId="1">
    <w:nsid w:val="0CC50254"/>
    <w:multiLevelType w:val="hybridMultilevel"/>
    <w:tmpl w:val="90324F2E"/>
    <w:lvl w:ilvl="0" w:tplc="1CD0A21C">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F636D"/>
    <w:multiLevelType w:val="hybridMultilevel"/>
    <w:tmpl w:val="4F90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D1E94"/>
    <w:multiLevelType w:val="hybridMultilevel"/>
    <w:tmpl w:val="892E430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A3A10"/>
    <w:multiLevelType w:val="hybridMultilevel"/>
    <w:tmpl w:val="34D0853E"/>
    <w:lvl w:ilvl="0" w:tplc="9E383EF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A2CDA"/>
    <w:multiLevelType w:val="hybridMultilevel"/>
    <w:tmpl w:val="A2587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603EF"/>
    <w:multiLevelType w:val="hybridMultilevel"/>
    <w:tmpl w:val="2C425C6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7">
    <w:nsid w:val="6E8C328A"/>
    <w:multiLevelType w:val="hybridMultilevel"/>
    <w:tmpl w:val="19C89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B36D97"/>
    <w:multiLevelType w:val="hybridMultilevel"/>
    <w:tmpl w:val="5164D4F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B70806"/>
    <w:rsid w:val="000136C8"/>
    <w:rsid w:val="0006485E"/>
    <w:rsid w:val="000C1834"/>
    <w:rsid w:val="000C597A"/>
    <w:rsid w:val="00100C5F"/>
    <w:rsid w:val="00140E12"/>
    <w:rsid w:val="00250985"/>
    <w:rsid w:val="00264D87"/>
    <w:rsid w:val="003B0E14"/>
    <w:rsid w:val="003C40A8"/>
    <w:rsid w:val="00404D96"/>
    <w:rsid w:val="006F702A"/>
    <w:rsid w:val="00706D05"/>
    <w:rsid w:val="00722B9C"/>
    <w:rsid w:val="0077708E"/>
    <w:rsid w:val="00777A05"/>
    <w:rsid w:val="00835773"/>
    <w:rsid w:val="00A86293"/>
    <w:rsid w:val="00A947C6"/>
    <w:rsid w:val="00A97E2D"/>
    <w:rsid w:val="00B673FC"/>
    <w:rsid w:val="00B70806"/>
    <w:rsid w:val="00C018F2"/>
    <w:rsid w:val="00D50651"/>
    <w:rsid w:val="00D65F3E"/>
    <w:rsid w:val="00DC4E12"/>
    <w:rsid w:val="00E44559"/>
    <w:rsid w:val="00FC434F"/>
    <w:rsid w:val="00FE7179"/>
    <w:rsid w:val="00FF52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806"/>
    <w:pPr>
      <w:spacing w:after="200" w:line="360" w:lineRule="auto"/>
      <w:ind w:left="680"/>
      <w:jc w:val="both"/>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0806"/>
    <w:pPr>
      <w:tabs>
        <w:tab w:val="center" w:pos="4536"/>
        <w:tab w:val="right" w:pos="9072"/>
      </w:tabs>
      <w:spacing w:after="0" w:line="240" w:lineRule="auto"/>
      <w:ind w:left="0"/>
      <w:jc w:val="left"/>
    </w:pPr>
  </w:style>
  <w:style w:type="character" w:customStyle="1" w:styleId="NagwekZnak">
    <w:name w:val="Nagłówek Znak"/>
    <w:basedOn w:val="Domylnaczcionkaakapitu"/>
    <w:link w:val="Nagwek"/>
    <w:uiPriority w:val="99"/>
    <w:rsid w:val="00B70806"/>
    <w:rPr>
      <w:rFonts w:eastAsiaTheme="minorHAnsi"/>
      <w:sz w:val="22"/>
      <w:szCs w:val="22"/>
      <w:lang w:val="pl-PL" w:eastAsia="en-US"/>
    </w:rPr>
  </w:style>
  <w:style w:type="character" w:styleId="Hipercze">
    <w:name w:val="Hyperlink"/>
    <w:basedOn w:val="Domylnaczcionkaakapitu"/>
    <w:uiPriority w:val="99"/>
    <w:unhideWhenUsed/>
    <w:rsid w:val="00B70806"/>
    <w:rPr>
      <w:color w:val="0000FF" w:themeColor="hyperlink"/>
      <w:u w:val="single"/>
    </w:rPr>
  </w:style>
  <w:style w:type="paragraph" w:styleId="Stopka">
    <w:name w:val="footer"/>
    <w:basedOn w:val="Normalny"/>
    <w:link w:val="StopkaZnak"/>
    <w:uiPriority w:val="99"/>
    <w:unhideWhenUsed/>
    <w:rsid w:val="00B70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806"/>
    <w:rPr>
      <w:rFonts w:eastAsiaTheme="minorHAnsi"/>
      <w:sz w:val="22"/>
      <w:szCs w:val="22"/>
      <w:lang w:val="pl-PL" w:eastAsia="en-US"/>
    </w:rPr>
  </w:style>
  <w:style w:type="paragraph" w:styleId="Akapitzlist">
    <w:name w:val="List Paragraph"/>
    <w:basedOn w:val="Normalny"/>
    <w:uiPriority w:val="34"/>
    <w:qFormat/>
    <w:rsid w:val="00835773"/>
    <w:pPr>
      <w:ind w:left="720"/>
      <w:contextualSpacing/>
    </w:pPr>
  </w:style>
  <w:style w:type="character" w:styleId="Numerstrony">
    <w:name w:val="page number"/>
    <w:basedOn w:val="Domylnaczcionkaakapitu"/>
    <w:uiPriority w:val="99"/>
    <w:semiHidden/>
    <w:unhideWhenUsed/>
    <w:rsid w:val="00FC4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806"/>
    <w:pPr>
      <w:spacing w:after="200" w:line="360" w:lineRule="auto"/>
      <w:ind w:left="680"/>
      <w:jc w:val="both"/>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0806"/>
    <w:pPr>
      <w:tabs>
        <w:tab w:val="center" w:pos="4536"/>
        <w:tab w:val="right" w:pos="9072"/>
      </w:tabs>
      <w:spacing w:after="0" w:line="240" w:lineRule="auto"/>
      <w:ind w:left="0"/>
      <w:jc w:val="left"/>
    </w:pPr>
  </w:style>
  <w:style w:type="character" w:customStyle="1" w:styleId="NagwekZnak">
    <w:name w:val="Nagłówek Znak"/>
    <w:basedOn w:val="Domylnaczcionkaakapitu"/>
    <w:link w:val="Nagwek"/>
    <w:uiPriority w:val="99"/>
    <w:rsid w:val="00B70806"/>
    <w:rPr>
      <w:rFonts w:eastAsiaTheme="minorHAnsi"/>
      <w:sz w:val="22"/>
      <w:szCs w:val="22"/>
      <w:lang w:val="pl-PL" w:eastAsia="en-US"/>
    </w:rPr>
  </w:style>
  <w:style w:type="character" w:styleId="Hipercze">
    <w:name w:val="Hyperlink"/>
    <w:basedOn w:val="Domylnaczcionkaakapitu"/>
    <w:uiPriority w:val="99"/>
    <w:unhideWhenUsed/>
    <w:rsid w:val="00B70806"/>
    <w:rPr>
      <w:color w:val="0000FF" w:themeColor="hyperlink"/>
      <w:u w:val="single"/>
    </w:rPr>
  </w:style>
  <w:style w:type="paragraph" w:styleId="Stopka">
    <w:name w:val="footer"/>
    <w:basedOn w:val="Normalny"/>
    <w:link w:val="StopkaZnak"/>
    <w:uiPriority w:val="99"/>
    <w:unhideWhenUsed/>
    <w:rsid w:val="00B70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806"/>
    <w:rPr>
      <w:rFonts w:eastAsiaTheme="minorHAnsi"/>
      <w:sz w:val="22"/>
      <w:szCs w:val="22"/>
      <w:lang w:val="pl-PL" w:eastAsia="en-US"/>
    </w:rPr>
  </w:style>
  <w:style w:type="paragraph" w:styleId="Akapitzlist">
    <w:name w:val="List Paragraph"/>
    <w:basedOn w:val="Normalny"/>
    <w:uiPriority w:val="34"/>
    <w:qFormat/>
    <w:rsid w:val="00835773"/>
    <w:pPr>
      <w:ind w:left="720"/>
      <w:contextualSpacing/>
    </w:pPr>
  </w:style>
  <w:style w:type="character" w:styleId="Numerstrony">
    <w:name w:val="page number"/>
    <w:basedOn w:val="Domylnaczcionkaakapitu"/>
    <w:uiPriority w:val="99"/>
    <w:semiHidden/>
    <w:unhideWhenUsed/>
    <w:rsid w:val="00FC43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923</Words>
  <Characters>5543</Characters>
  <Application>Microsoft Office Word</Application>
  <DocSecurity>0</DocSecurity>
  <Lines>46</Lines>
  <Paragraphs>12</Paragraphs>
  <ScaleCrop>false</ScaleCrop>
  <Company>TOSHIBA</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Masztalerz</dc:creator>
  <cp:lastModifiedBy>Mak</cp:lastModifiedBy>
  <cp:revision>3</cp:revision>
  <dcterms:created xsi:type="dcterms:W3CDTF">2018-09-23T17:30:00Z</dcterms:created>
  <dcterms:modified xsi:type="dcterms:W3CDTF">2018-09-25T16:34:00Z</dcterms:modified>
</cp:coreProperties>
</file>